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B9EB" w14:textId="77777777" w:rsidR="00D120D4" w:rsidRDefault="00D120D4" w:rsidP="00AB1AE0">
      <w:pPr>
        <w:pStyle w:val="Ingenafstand"/>
        <w:rPr>
          <w:b/>
          <w:sz w:val="32"/>
          <w:szCs w:val="32"/>
        </w:rPr>
      </w:pPr>
    </w:p>
    <w:p w14:paraId="5D41362D" w14:textId="77777777" w:rsidR="00777017" w:rsidRDefault="00777017" w:rsidP="00AB1AE0">
      <w:pPr>
        <w:pStyle w:val="Ingenafstand"/>
        <w:rPr>
          <w:b/>
          <w:sz w:val="32"/>
          <w:szCs w:val="32"/>
        </w:rPr>
      </w:pPr>
    </w:p>
    <w:p w14:paraId="29C832F7" w14:textId="77777777" w:rsidR="004E017B" w:rsidRPr="00AB1AE0" w:rsidRDefault="00041CF0" w:rsidP="00AB1AE0">
      <w:pPr>
        <w:pStyle w:val="Ingenafstand"/>
        <w:rPr>
          <w:sz w:val="28"/>
          <w:szCs w:val="28"/>
        </w:rPr>
      </w:pPr>
      <w:r w:rsidRPr="00AB1AE0">
        <w:rPr>
          <w:b/>
          <w:sz w:val="32"/>
          <w:szCs w:val="32"/>
        </w:rPr>
        <w:t>Bilag 3</w:t>
      </w:r>
      <w:r w:rsidR="00F8714E" w:rsidRPr="00AB1AE0">
        <w:rPr>
          <w:b/>
          <w:sz w:val="32"/>
          <w:szCs w:val="32"/>
        </w:rPr>
        <w:t xml:space="preserve"> - §29 </w:t>
      </w:r>
      <w:r w:rsidR="00EC407F">
        <w:rPr>
          <w:b/>
          <w:sz w:val="32"/>
          <w:szCs w:val="32"/>
        </w:rPr>
        <w:t>pkt</w:t>
      </w:r>
      <w:r w:rsidR="00F8714E" w:rsidRPr="00AB1AE0">
        <w:rPr>
          <w:b/>
          <w:sz w:val="32"/>
          <w:szCs w:val="32"/>
        </w:rPr>
        <w:t>. 3</w:t>
      </w:r>
      <w:r w:rsidR="00F8714E" w:rsidRPr="00AB1AE0">
        <w:t xml:space="preserve"> </w:t>
      </w:r>
      <w:r w:rsidR="00F8714E" w:rsidRPr="00AB1AE0">
        <w:rPr>
          <w:b/>
          <w:sz w:val="28"/>
          <w:szCs w:val="28"/>
        </w:rPr>
        <w:t>Forventede ændringer i prisniveauet efter en eventuel udtræden</w:t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992"/>
        <w:gridCol w:w="992"/>
        <w:gridCol w:w="992"/>
        <w:gridCol w:w="993"/>
        <w:gridCol w:w="850"/>
        <w:gridCol w:w="992"/>
      </w:tblGrid>
      <w:tr w:rsidR="00041CF0" w:rsidRPr="00041CF0" w14:paraId="4839DF52" w14:textId="77777777" w:rsidTr="00954D18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06AD" w14:textId="77777777" w:rsidR="00202DEA" w:rsidRPr="00954D18" w:rsidRDefault="00202DEA" w:rsidP="0004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  <w:p w14:paraId="4C04BF43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Takster ekskl. Moms og afgifter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51D1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BD69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09A2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774C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8ABB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05E5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F37D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41CF0" w:rsidRPr="00041CF0" w14:paraId="30A862A2" w14:textId="77777777" w:rsidTr="00954D1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2F9E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Forbruger betaling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B0A3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6151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1CE5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4713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5B20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AF72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7390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2025</w:t>
            </w:r>
          </w:p>
        </w:tc>
      </w:tr>
      <w:tr w:rsidR="00041CF0" w:rsidRPr="00041CF0" w14:paraId="5BA010E4" w14:textId="77777777" w:rsidTr="00954D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BC7D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Vandforbrug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E6DF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kr./m3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BC3A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ADED" w14:textId="77777777" w:rsidR="00041CF0" w:rsidRPr="00954D18" w:rsidRDefault="00041CF0" w:rsidP="00F87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5,</w:t>
            </w:r>
            <w:r w:rsidR="00F8714E"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210F" w14:textId="77777777" w:rsidR="00041CF0" w:rsidRPr="00954D18" w:rsidRDefault="00041CF0" w:rsidP="00F87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5,</w:t>
            </w:r>
            <w:r w:rsidR="00F8714E"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CA0" w14:textId="77777777" w:rsidR="00041CF0" w:rsidRPr="00954D18" w:rsidRDefault="00041CF0" w:rsidP="00F87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5,</w:t>
            </w:r>
            <w:r w:rsidR="00F8714E"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173E" w14:textId="77777777" w:rsidR="00041CF0" w:rsidRPr="00954D18" w:rsidRDefault="00041CF0" w:rsidP="00F87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5,</w:t>
            </w:r>
            <w:r w:rsidR="00F8714E"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5315" w14:textId="77777777" w:rsidR="00041CF0" w:rsidRPr="00954D18" w:rsidRDefault="00F8714E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5,00</w:t>
            </w:r>
          </w:p>
        </w:tc>
      </w:tr>
      <w:tr w:rsidR="00041CF0" w:rsidRPr="00041CF0" w14:paraId="08733BFF" w14:textId="77777777" w:rsidTr="00954D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D783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Vandforbrug - ikke andelshaver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82E0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kr./m3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8D64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E9C8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6DD5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57E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C6B1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6A63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11,00</w:t>
            </w:r>
          </w:p>
        </w:tc>
      </w:tr>
      <w:tr w:rsidR="00041CF0" w:rsidRPr="00041CF0" w14:paraId="11F85080" w14:textId="77777777" w:rsidTr="00954D18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6BFF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Fast bidrag pr. enhed/ejendom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DE9E" w14:textId="77777777" w:rsidR="00041CF0" w:rsidRPr="00954D18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kr./år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2A17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9443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BB5C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9D46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7326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6825" w14:textId="77777777" w:rsidR="00041CF0" w:rsidRPr="00954D18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54D18">
              <w:rPr>
                <w:rFonts w:ascii="Calibri" w:eastAsia="Times New Roman" w:hAnsi="Calibri" w:cs="Calibri"/>
                <w:color w:val="000000"/>
                <w:lang w:eastAsia="da-DK"/>
              </w:rPr>
              <w:t>750,00</w:t>
            </w:r>
          </w:p>
        </w:tc>
      </w:tr>
      <w:tr w:rsidR="00041CF0" w:rsidRPr="00041CF0" w14:paraId="2D2D7E13" w14:textId="77777777" w:rsidTr="00954D18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4F81E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F8AE3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00733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0F61C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6E0F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0FFC7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15653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9909C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454A6ABB" w14:textId="77777777" w:rsidR="009201B9" w:rsidRDefault="009201B9" w:rsidP="009201B9">
      <w:pPr>
        <w:pStyle w:val="Ingenafstand"/>
      </w:pPr>
      <w:r>
        <w:t>Bestyrelsen forventer at taksten for</w:t>
      </w:r>
      <w:r w:rsidR="00954D18">
        <w:t xml:space="preserve"> vand</w:t>
      </w:r>
      <w:r>
        <w:t>forbrug kan nedsættes fremadrettet fra 5,50 til 5,00 pr. m3 i overslagsårene 2021-2025, begrundet i mindre omkostninger ved udtræden af vandsektorlovens økonomiske regulering samt en forventet skattetilbagebetaling på kr. 3</w:t>
      </w:r>
      <w:r w:rsidR="000A5961">
        <w:t>42.104 med tillæg af renter til tilbagebetaling sker.</w:t>
      </w:r>
      <w:r w:rsidR="00527D66">
        <w:t xml:space="preserve"> </w:t>
      </w:r>
    </w:p>
    <w:p w14:paraId="52ED5AE1" w14:textId="77777777" w:rsidR="00D120D4" w:rsidRDefault="00D120D4" w:rsidP="009201B9">
      <w:pPr>
        <w:pStyle w:val="Ingenafstand"/>
      </w:pPr>
    </w:p>
    <w:p w14:paraId="76C4467F" w14:textId="77777777" w:rsidR="00954D18" w:rsidRDefault="00954D18" w:rsidP="009201B9">
      <w:pPr>
        <w:pStyle w:val="Ingenafstand"/>
      </w:pPr>
      <w:r>
        <w:t xml:space="preserve">I de forventede takster er der taget hensyn til at vandværket fortsat kan vedligeholde og investere i ledningsnettet med udskiftning af ældre ledninger af jernrør samt områder med aluminiumsanboringer. </w:t>
      </w:r>
      <w:proofErr w:type="gramStart"/>
      <w:r>
        <w:t>Endvidere</w:t>
      </w:r>
      <w:proofErr w:type="gramEnd"/>
      <w:r>
        <w:t xml:space="preserve"> sker der løbende etablering af målerbrønde og udskiftning af stophaner.</w:t>
      </w:r>
    </w:p>
    <w:p w14:paraId="62D17164" w14:textId="77777777" w:rsidR="00954D18" w:rsidRDefault="00954D18" w:rsidP="009201B9">
      <w:pPr>
        <w:pStyle w:val="Ingenafstand"/>
      </w:pPr>
    </w:p>
    <w:p w14:paraId="17F801E4" w14:textId="7F5AE450" w:rsidR="00D120D4" w:rsidRDefault="00D120D4" w:rsidP="009201B9">
      <w:pPr>
        <w:pStyle w:val="Ingenafstand"/>
      </w:pPr>
      <w:r>
        <w:t xml:space="preserve">De gældende takster inkl. oplysning om gebyrer og tilslutningsbidrag kan ses på vandværkets hjemmeside: </w:t>
      </w:r>
      <w:r w:rsidRPr="000B66CE">
        <w:t>www.</w:t>
      </w:r>
      <w:r w:rsidR="000B66CE">
        <w:t>vandværketshjemmeside</w:t>
      </w:r>
      <w:r w:rsidRPr="000B66CE">
        <w:t>.dk</w:t>
      </w:r>
      <w:r>
        <w:t>.</w:t>
      </w:r>
      <w:r w:rsidR="004603CD">
        <w:t xml:space="preserve"> Gebyrer forventes ikke ændret – og tilslutningsbidrag pristalsreguleres årligt med indekstal beregnet af Forsyningssekretariatet.</w:t>
      </w:r>
    </w:p>
    <w:p w14:paraId="206D4546" w14:textId="77777777" w:rsidR="00B40322" w:rsidRDefault="00B40322" w:rsidP="009201B9">
      <w:pPr>
        <w:pStyle w:val="Ingenafstand"/>
      </w:pPr>
    </w:p>
    <w:p w14:paraId="1B073FCF" w14:textId="0A330FEA" w:rsidR="00B40322" w:rsidRDefault="00B40322" w:rsidP="009201B9">
      <w:pPr>
        <w:pStyle w:val="Ingenafstand"/>
      </w:pPr>
      <w:r>
        <w:t>Regnskaber og budgetter er tilgængelige på vandværkets h</w:t>
      </w:r>
      <w:r w:rsidR="00777017">
        <w:t>j</w:t>
      </w:r>
      <w:r>
        <w:t xml:space="preserve">emmeside: </w:t>
      </w:r>
      <w:r w:rsidRPr="000B66CE">
        <w:t>www.</w:t>
      </w:r>
      <w:r w:rsidR="000B66CE">
        <w:t>vandværketshjemmeside</w:t>
      </w:r>
      <w:r w:rsidRPr="000B66CE">
        <w:t>.dk</w:t>
      </w:r>
      <w:r>
        <w:t>.</w:t>
      </w:r>
    </w:p>
    <w:p w14:paraId="0027B694" w14:textId="77777777" w:rsidR="00B40322" w:rsidRDefault="00B40322" w:rsidP="009201B9">
      <w:pPr>
        <w:pStyle w:val="Ingenafstand"/>
      </w:pPr>
      <w:r>
        <w:t xml:space="preserve"> </w:t>
      </w:r>
    </w:p>
    <w:p w14:paraId="0E93FF18" w14:textId="77777777" w:rsidR="00107B49" w:rsidRPr="00D120D4" w:rsidRDefault="00107B49">
      <w:pPr>
        <w:pBdr>
          <w:bottom w:val="single" w:sz="6" w:space="1" w:color="auto"/>
        </w:pBdr>
        <w:rPr>
          <w:sz w:val="32"/>
          <w:szCs w:val="32"/>
        </w:rPr>
      </w:pPr>
    </w:p>
    <w:p w14:paraId="5EADFF74" w14:textId="77777777" w:rsidR="00D120D4" w:rsidRDefault="00D120D4">
      <w:pPr>
        <w:rPr>
          <w:b/>
          <w:sz w:val="32"/>
          <w:szCs w:val="32"/>
          <w:u w:val="single"/>
        </w:rPr>
      </w:pPr>
    </w:p>
    <w:p w14:paraId="542DF524" w14:textId="77777777" w:rsidR="00041CF0" w:rsidRPr="0002591F" w:rsidRDefault="00041CF0">
      <w:pPr>
        <w:rPr>
          <w:b/>
          <w:sz w:val="24"/>
          <w:szCs w:val="24"/>
          <w:u w:val="single"/>
        </w:rPr>
      </w:pPr>
      <w:r w:rsidRPr="0002591F">
        <w:rPr>
          <w:b/>
          <w:sz w:val="32"/>
          <w:szCs w:val="32"/>
          <w:u w:val="single"/>
        </w:rPr>
        <w:t>Bilag 4</w:t>
      </w:r>
      <w:r w:rsidR="00EC407F" w:rsidRPr="0002591F">
        <w:rPr>
          <w:b/>
          <w:sz w:val="32"/>
          <w:szCs w:val="32"/>
          <w:u w:val="single"/>
        </w:rPr>
        <w:t xml:space="preserve"> - §29 pkt. 4</w:t>
      </w:r>
      <w:r w:rsidR="0002591F">
        <w:rPr>
          <w:b/>
          <w:sz w:val="28"/>
          <w:szCs w:val="28"/>
          <w:u w:val="single"/>
        </w:rPr>
        <w:t xml:space="preserve">, </w:t>
      </w:r>
      <w:r w:rsidR="0002591F" w:rsidRPr="0002591F">
        <w:rPr>
          <w:b/>
          <w:sz w:val="24"/>
          <w:szCs w:val="24"/>
          <w:u w:val="single"/>
        </w:rPr>
        <w:t>Forventede administrative konsekvenser af vandværkets udtræden</w:t>
      </w: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2780"/>
      </w:tblGrid>
      <w:tr w:rsidR="00041CF0" w:rsidRPr="00041CF0" w14:paraId="6E6C3118" w14:textId="77777777" w:rsidTr="00AB1AE0">
        <w:trPr>
          <w:gridAfter w:val="1"/>
          <w:wAfter w:w="2780" w:type="dxa"/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36A1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  <w:t>Besparelse i administrative omkostninger</w:t>
            </w: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7C14" w14:textId="77777777" w:rsidR="00041CF0" w:rsidRPr="00041CF0" w:rsidRDefault="00041CF0" w:rsidP="00041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F0F3" w14:textId="77777777" w:rsidR="00041CF0" w:rsidRPr="0002591F" w:rsidRDefault="00041CF0" w:rsidP="0004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da-DK"/>
              </w:rPr>
            </w:pPr>
            <w:r w:rsidRPr="0002591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da-DK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510D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41CF0" w:rsidRPr="00041CF0" w14:paraId="4FDBC717" w14:textId="77777777" w:rsidTr="00AB1AE0">
        <w:trPr>
          <w:gridAfter w:val="1"/>
          <w:wAfter w:w="2780" w:type="dxa"/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4999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Honorar for erklæringer til forsyningssekretariatet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515F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545F" w14:textId="77777777" w:rsidR="00041CF0" w:rsidRPr="00041CF0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14.800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9674" w14:textId="77777777" w:rsidR="00041CF0" w:rsidRPr="00041CF0" w:rsidRDefault="00954D18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K</w:t>
            </w:r>
            <w:r w:rsidR="00041CF0"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  <w:tr w:rsidR="00041CF0" w:rsidRPr="00041CF0" w14:paraId="45FA7CCA" w14:textId="77777777" w:rsidTr="00AB1AE0">
        <w:trPr>
          <w:gridAfter w:val="1"/>
          <w:wAfter w:w="2780" w:type="dxa"/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AD39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Honorar til forsyningssekretariatet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44D0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C8FC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E5B32" w14:textId="77777777" w:rsidR="00041CF0" w:rsidRPr="00041CF0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4.115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3301" w14:textId="77777777" w:rsidR="00041CF0" w:rsidRPr="00041CF0" w:rsidRDefault="00954D18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K</w:t>
            </w:r>
            <w:r w:rsidR="00041CF0"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  <w:tr w:rsidR="00041CF0" w:rsidRPr="00041CF0" w14:paraId="4E67CB20" w14:textId="77777777" w:rsidTr="00AB1AE0">
        <w:trPr>
          <w:gridAfter w:val="1"/>
          <w:wAfter w:w="278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198A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99E6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F36F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ABDC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FC26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3DDB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5E4BC" w14:textId="77777777" w:rsidR="00041CF0" w:rsidRPr="00041CF0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18.915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C289" w14:textId="77777777" w:rsidR="00041CF0" w:rsidRPr="00041CF0" w:rsidRDefault="00954D18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K</w:t>
            </w:r>
            <w:r w:rsidR="00041CF0"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  <w:tr w:rsidR="00041CF0" w:rsidRPr="00041CF0" w14:paraId="4F35BEE6" w14:textId="77777777" w:rsidTr="00AB1AE0">
        <w:trPr>
          <w:gridAfter w:val="1"/>
          <w:wAfter w:w="2780" w:type="dxa"/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5DCB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Forøget indsats i fo</w:t>
            </w:r>
            <w:r w:rsidR="0002591F"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bindelse med udarbejdelse af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266A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91C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27C0" w14:textId="77777777" w:rsidR="00041CF0" w:rsidRPr="00041CF0" w:rsidRDefault="00041CF0" w:rsidP="000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41CF0" w:rsidRPr="00041CF0" w14:paraId="1E40A178" w14:textId="77777777" w:rsidTr="00AB1AE0">
        <w:trPr>
          <w:gridAfter w:val="1"/>
          <w:wAfter w:w="2780" w:type="dxa"/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68B3" w14:textId="77777777" w:rsidR="00041CF0" w:rsidRPr="00041CF0" w:rsidRDefault="00041CF0" w:rsidP="00025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materiale til godkendelse af takster, anslået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917E" w14:textId="77777777" w:rsidR="00041CF0" w:rsidRPr="00041CF0" w:rsidRDefault="00041CF0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448EA" w14:textId="77777777" w:rsidR="00041CF0" w:rsidRPr="00041CF0" w:rsidRDefault="00041CF0" w:rsidP="00041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10.000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376A" w14:textId="77777777" w:rsidR="00041CF0" w:rsidRPr="00041CF0" w:rsidRDefault="00954D18" w:rsidP="00041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K</w:t>
            </w:r>
            <w:r w:rsidR="00041CF0" w:rsidRPr="00041CF0">
              <w:rPr>
                <w:rFonts w:ascii="Calibri" w:eastAsia="Times New Roman" w:hAnsi="Calibri" w:cs="Calibri"/>
                <w:color w:val="000000"/>
                <w:lang w:eastAsia="da-DK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  <w:tr w:rsidR="00AB1AE0" w:rsidRPr="00AB1AE0" w14:paraId="08C4BDB9" w14:textId="77777777" w:rsidTr="00AB1AE0">
        <w:trPr>
          <w:trHeight w:val="360"/>
        </w:trPr>
        <w:tc>
          <w:tcPr>
            <w:tcW w:w="10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48C5" w14:textId="77777777" w:rsidR="00AB1AE0" w:rsidRDefault="00AB1AE0" w:rsidP="00AB1AE0">
            <w:pPr>
              <w:pStyle w:val="Ingenafstand"/>
            </w:pPr>
          </w:p>
          <w:p w14:paraId="1E176EAE" w14:textId="77777777" w:rsidR="004603CD" w:rsidRDefault="00AB1AE0" w:rsidP="00B44A0A">
            <w:pPr>
              <w:pStyle w:val="Ingenafstand"/>
            </w:pPr>
            <w:r>
              <w:t>Hvis generalforsamlingen den 24. marts 2020</w:t>
            </w:r>
            <w:r w:rsidR="004032D0">
              <w:t>,</w:t>
            </w:r>
            <w:r>
              <w:t xml:space="preserve"> samt </w:t>
            </w:r>
            <w:r w:rsidR="00D120D4">
              <w:t xml:space="preserve">ved </w:t>
            </w:r>
            <w:r w:rsidR="004032D0">
              <w:t>en</w:t>
            </w:r>
            <w:r>
              <w:t xml:space="preserve"> </w:t>
            </w:r>
            <w:r w:rsidR="004032D0">
              <w:t xml:space="preserve">efterfølgende </w:t>
            </w:r>
            <w:r>
              <w:t>ekstraordinær generalforsamling</w:t>
            </w:r>
            <w:r w:rsidR="004032D0">
              <w:t>,</w:t>
            </w:r>
            <w:r>
              <w:t xml:space="preserve"> godkender bestyrelsens forslag om at </w:t>
            </w:r>
            <w:r w:rsidR="004032D0">
              <w:t>vandværket</w:t>
            </w:r>
            <w:r>
              <w:t xml:space="preserve"> udtræder af vandsektorlovens økonomiske regulering så ophører vandværket samtidig med at være skattepligtigt efter selskabsskatteloven. </w:t>
            </w:r>
          </w:p>
          <w:p w14:paraId="03FDDD22" w14:textId="77777777" w:rsidR="00F77AAF" w:rsidRDefault="00F77AAF" w:rsidP="00B44A0A">
            <w:pPr>
              <w:pStyle w:val="Ingenafstand"/>
            </w:pPr>
          </w:p>
          <w:p w14:paraId="3D19259D" w14:textId="77777777" w:rsidR="00AB1AE0" w:rsidRPr="00AB1AE0" w:rsidRDefault="00AB1AE0" w:rsidP="00B44A0A">
            <w:pPr>
              <w:pStyle w:val="Ingenafstand"/>
            </w:pPr>
            <w:r>
              <w:t xml:space="preserve">Fritagelsen for disse to administrative </w:t>
            </w:r>
            <w:r w:rsidR="004032D0">
              <w:t xml:space="preserve">byrder vil betyde økonomiske og administrative lettelser for </w:t>
            </w:r>
            <w:r w:rsidR="0002591F">
              <w:t xml:space="preserve">vandværket, og for </w:t>
            </w:r>
            <w:r w:rsidR="004032D0">
              <w:t>vandværkets driftsleder og bestyrelsen, så fokus kun skal rettes på vandværkets primære opgave med at sikre kvaliteten og forsyning</w:t>
            </w:r>
            <w:r w:rsidR="00B44A0A">
              <w:t>ssikkerheden af</w:t>
            </w:r>
            <w:r w:rsidR="004032D0">
              <w:t xml:space="preserve"> rent og sundt drikkevand til forbrugerne døgnet rundt. </w:t>
            </w:r>
          </w:p>
        </w:tc>
      </w:tr>
    </w:tbl>
    <w:p w14:paraId="7EAF12D5" w14:textId="77777777" w:rsidR="00984302" w:rsidRDefault="00984302" w:rsidP="00AB1AE0">
      <w:pPr>
        <w:rPr>
          <w:b/>
          <w:u w:val="single"/>
        </w:rPr>
      </w:pPr>
    </w:p>
    <w:sectPr w:rsidR="00984302" w:rsidSect="00041CF0">
      <w:headerReference w:type="default" r:id="rId7"/>
      <w:footerReference w:type="default" r:id="rId8"/>
      <w:pgSz w:w="11906" w:h="16838"/>
      <w:pgMar w:top="1304" w:right="851" w:bottom="1304" w:left="851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9D93" w14:textId="77777777" w:rsidR="006C0803" w:rsidRDefault="006C0803" w:rsidP="000B4A7C">
      <w:pPr>
        <w:spacing w:after="0" w:line="240" w:lineRule="auto"/>
      </w:pPr>
      <w:r>
        <w:separator/>
      </w:r>
    </w:p>
  </w:endnote>
  <w:endnote w:type="continuationSeparator" w:id="0">
    <w:p w14:paraId="002A4AB0" w14:textId="77777777" w:rsidR="006C0803" w:rsidRDefault="006C0803" w:rsidP="000B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-sof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3969"/>
      <w:gridCol w:w="1553"/>
    </w:tblGrid>
    <w:tr w:rsidR="00057252" w:rsidRPr="00057252" w14:paraId="3CFD21D0" w14:textId="77777777" w:rsidTr="00D55FC1">
      <w:tc>
        <w:tcPr>
          <w:tcW w:w="4106" w:type="dxa"/>
        </w:tcPr>
        <w:p w14:paraId="62FC57C1" w14:textId="717C8DDE" w:rsidR="00AA63AD" w:rsidRPr="00057252" w:rsidRDefault="00AA63AD" w:rsidP="00747842">
          <w:pPr>
            <w:pStyle w:val="Sidefod"/>
          </w:pPr>
        </w:p>
      </w:tc>
      <w:tc>
        <w:tcPr>
          <w:tcW w:w="3969" w:type="dxa"/>
        </w:tcPr>
        <w:p w14:paraId="05BF7E2E" w14:textId="46316F03" w:rsidR="00AA63AD" w:rsidRPr="00057252" w:rsidRDefault="00AA63AD" w:rsidP="009E4E2B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 w:val="restart"/>
        </w:tcPr>
        <w:p w14:paraId="1E584FE1" w14:textId="77777777" w:rsidR="00AA63AD" w:rsidRPr="00057252" w:rsidRDefault="00AA63AD" w:rsidP="00747842">
          <w:pPr>
            <w:pStyle w:val="Sidefod"/>
          </w:pPr>
          <w:r w:rsidRPr="00057252">
            <w:rPr>
              <w:rFonts w:ascii="proxima-nova-soft" w:hAnsi="proxima-nova-soft"/>
              <w:noProof/>
              <w:sz w:val="21"/>
              <w:szCs w:val="21"/>
              <w:lang w:eastAsia="da-DK"/>
            </w:rPr>
            <w:drawing>
              <wp:inline distT="0" distB="0" distL="0" distR="0" wp14:anchorId="231D1189" wp14:editId="2D367C7A">
                <wp:extent cx="695325" cy="752475"/>
                <wp:effectExtent l="0" t="0" r="9525" b="9525"/>
                <wp:docPr id="3" name="Billede 3" descr="Logo Medlem Blaa 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Medlem Blaa 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7252" w:rsidRPr="00057252" w14:paraId="0AAA7C51" w14:textId="77777777" w:rsidTr="00D55FC1">
      <w:tc>
        <w:tcPr>
          <w:tcW w:w="4106" w:type="dxa"/>
        </w:tcPr>
        <w:p w14:paraId="5606EF72" w14:textId="1B09252B" w:rsidR="00AA63AD" w:rsidRPr="00057252" w:rsidRDefault="00AA63AD" w:rsidP="009E4E2B">
          <w:pPr>
            <w:pStyle w:val="Sidefod"/>
          </w:pPr>
        </w:p>
      </w:tc>
      <w:tc>
        <w:tcPr>
          <w:tcW w:w="3969" w:type="dxa"/>
        </w:tcPr>
        <w:p w14:paraId="631CBBCF" w14:textId="525B7E4D" w:rsidR="00AA63AD" w:rsidRPr="00057252" w:rsidRDefault="00AA63AD" w:rsidP="00AA63AD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/>
        </w:tcPr>
        <w:p w14:paraId="605DD468" w14:textId="77777777" w:rsidR="00AA63AD" w:rsidRPr="00057252" w:rsidRDefault="00AA63AD" w:rsidP="00747842">
          <w:pPr>
            <w:pStyle w:val="Sidefod"/>
            <w:rPr>
              <w:lang w:val="de-DE"/>
            </w:rPr>
          </w:pPr>
        </w:p>
      </w:tc>
    </w:tr>
    <w:tr w:rsidR="00057252" w:rsidRPr="00057252" w14:paraId="16434350" w14:textId="77777777" w:rsidTr="00D55FC1">
      <w:tc>
        <w:tcPr>
          <w:tcW w:w="4106" w:type="dxa"/>
        </w:tcPr>
        <w:p w14:paraId="496FDD6E" w14:textId="61074BF7" w:rsidR="00AA63AD" w:rsidRPr="00057252" w:rsidRDefault="00AA63AD" w:rsidP="00747842">
          <w:pPr>
            <w:pStyle w:val="Sidefod"/>
          </w:pPr>
        </w:p>
      </w:tc>
      <w:tc>
        <w:tcPr>
          <w:tcW w:w="3969" w:type="dxa"/>
        </w:tcPr>
        <w:p w14:paraId="638EB307" w14:textId="48E3AA41" w:rsidR="00AA63AD" w:rsidRPr="00057252" w:rsidRDefault="00AA63AD" w:rsidP="00747842">
          <w:pPr>
            <w:pStyle w:val="Sidefod"/>
          </w:pPr>
        </w:p>
      </w:tc>
      <w:tc>
        <w:tcPr>
          <w:tcW w:w="1553" w:type="dxa"/>
          <w:vMerge/>
        </w:tcPr>
        <w:p w14:paraId="74770D39" w14:textId="77777777" w:rsidR="00AA63AD" w:rsidRPr="00057252" w:rsidRDefault="00AA63AD" w:rsidP="00747842">
          <w:pPr>
            <w:pStyle w:val="Sidefod"/>
          </w:pPr>
        </w:p>
      </w:tc>
    </w:tr>
    <w:tr w:rsidR="00AA63AD" w:rsidRPr="00057252" w14:paraId="7577142B" w14:textId="77777777" w:rsidTr="00D55FC1">
      <w:trPr>
        <w:trHeight w:val="423"/>
      </w:trPr>
      <w:tc>
        <w:tcPr>
          <w:tcW w:w="4106" w:type="dxa"/>
        </w:tcPr>
        <w:p w14:paraId="2D7A146D" w14:textId="69ADF8A1" w:rsidR="00AA63AD" w:rsidRPr="00057252" w:rsidRDefault="00AA63AD" w:rsidP="00D55FC1">
          <w:pPr>
            <w:pStyle w:val="Sidefod"/>
          </w:pPr>
        </w:p>
      </w:tc>
      <w:tc>
        <w:tcPr>
          <w:tcW w:w="3969" w:type="dxa"/>
        </w:tcPr>
        <w:p w14:paraId="3F6E7490" w14:textId="6FFA2017" w:rsidR="00AA63AD" w:rsidRPr="00057252" w:rsidRDefault="00AA63AD" w:rsidP="005D0320">
          <w:pPr>
            <w:pStyle w:val="Sidefod"/>
          </w:pPr>
        </w:p>
      </w:tc>
      <w:tc>
        <w:tcPr>
          <w:tcW w:w="1553" w:type="dxa"/>
          <w:vMerge/>
        </w:tcPr>
        <w:p w14:paraId="0B7A7F6C" w14:textId="77777777" w:rsidR="00AA63AD" w:rsidRPr="00057252" w:rsidRDefault="00AA63AD" w:rsidP="00747842">
          <w:pPr>
            <w:pStyle w:val="Sidefod"/>
          </w:pPr>
        </w:p>
      </w:tc>
    </w:tr>
  </w:tbl>
  <w:p w14:paraId="744DAFD4" w14:textId="77777777" w:rsidR="00747842" w:rsidRPr="00057252" w:rsidRDefault="00747842" w:rsidP="00AA63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712A" w14:textId="77777777" w:rsidR="006C0803" w:rsidRDefault="006C0803" w:rsidP="000B4A7C">
      <w:pPr>
        <w:spacing w:after="0" w:line="240" w:lineRule="auto"/>
      </w:pPr>
      <w:r>
        <w:separator/>
      </w:r>
    </w:p>
  </w:footnote>
  <w:footnote w:type="continuationSeparator" w:id="0">
    <w:p w14:paraId="2E727850" w14:textId="77777777" w:rsidR="006C0803" w:rsidRDefault="006C0803" w:rsidP="000B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790F" w14:textId="51D67559" w:rsidR="00986138" w:rsidRPr="00057252" w:rsidRDefault="000B66CE" w:rsidP="00986138">
    <w:pPr>
      <w:pStyle w:val="Sidehoved"/>
      <w:jc w:val="center"/>
    </w:pPr>
    <w:r>
      <w:rPr>
        <w:sz w:val="48"/>
        <w:szCs w:val="48"/>
      </w:rPr>
      <w:t>XX</w:t>
    </w:r>
    <w:r w:rsidR="00986138" w:rsidRPr="00057252">
      <w:rPr>
        <w:sz w:val="48"/>
        <w:szCs w:val="48"/>
      </w:rPr>
      <w:t xml:space="preserve"> Vandværk a.m.b.a.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7C"/>
    <w:rsid w:val="0002591F"/>
    <w:rsid w:val="00041CF0"/>
    <w:rsid w:val="00057252"/>
    <w:rsid w:val="00074E58"/>
    <w:rsid w:val="000870C5"/>
    <w:rsid w:val="000A3A3A"/>
    <w:rsid w:val="000A5961"/>
    <w:rsid w:val="000B4A7C"/>
    <w:rsid w:val="000B66CE"/>
    <w:rsid w:val="00107B49"/>
    <w:rsid w:val="00186C3A"/>
    <w:rsid w:val="00202DEA"/>
    <w:rsid w:val="0021722D"/>
    <w:rsid w:val="00220866"/>
    <w:rsid w:val="002211ED"/>
    <w:rsid w:val="004032D0"/>
    <w:rsid w:val="004603CD"/>
    <w:rsid w:val="004864CC"/>
    <w:rsid w:val="004C0EE2"/>
    <w:rsid w:val="004E017B"/>
    <w:rsid w:val="00527D66"/>
    <w:rsid w:val="005621A8"/>
    <w:rsid w:val="005D0320"/>
    <w:rsid w:val="006028F4"/>
    <w:rsid w:val="006C0803"/>
    <w:rsid w:val="00701748"/>
    <w:rsid w:val="00747842"/>
    <w:rsid w:val="00777017"/>
    <w:rsid w:val="008A0565"/>
    <w:rsid w:val="008C1FD6"/>
    <w:rsid w:val="009201B9"/>
    <w:rsid w:val="00954D18"/>
    <w:rsid w:val="00984302"/>
    <w:rsid w:val="00986138"/>
    <w:rsid w:val="009C2DFE"/>
    <w:rsid w:val="009E4E2B"/>
    <w:rsid w:val="00A0653F"/>
    <w:rsid w:val="00AA63AD"/>
    <w:rsid w:val="00AB1AE0"/>
    <w:rsid w:val="00B40322"/>
    <w:rsid w:val="00B44A0A"/>
    <w:rsid w:val="00C80BB5"/>
    <w:rsid w:val="00D120D4"/>
    <w:rsid w:val="00D55FC1"/>
    <w:rsid w:val="00DA6469"/>
    <w:rsid w:val="00DD55D6"/>
    <w:rsid w:val="00E90A40"/>
    <w:rsid w:val="00EB0CA2"/>
    <w:rsid w:val="00EC407F"/>
    <w:rsid w:val="00F14BDA"/>
    <w:rsid w:val="00F3498E"/>
    <w:rsid w:val="00F77AAF"/>
    <w:rsid w:val="00F8714E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797D1"/>
  <w15:chartTrackingRefBased/>
  <w15:docId w15:val="{8535B14A-2CCB-4D34-AEED-15BCAA4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4A7C"/>
  </w:style>
  <w:style w:type="paragraph" w:styleId="Sidefod">
    <w:name w:val="footer"/>
    <w:basedOn w:val="Normal"/>
    <w:link w:val="Sidefo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4A7C"/>
  </w:style>
  <w:style w:type="table" w:styleId="Tabel-Gitter">
    <w:name w:val="Table Grid"/>
    <w:basedOn w:val="Tabel-Normal"/>
    <w:uiPriority w:val="39"/>
    <w:rsid w:val="000B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1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1FD6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AB1AE0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D12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DC9DD2-DC8B-4B68-B98D-ACF37E73F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8CA99C-C39D-4D10-A623-7D6831FF0A3D}"/>
</file>

<file path=customXml/itemProps3.xml><?xml version="1.0" encoding="utf-8"?>
<ds:datastoreItem xmlns:ds="http://schemas.openxmlformats.org/officeDocument/2006/customXml" ds:itemID="{71BE048A-C062-419E-A1D8-B9C083A5DE2E}"/>
</file>

<file path=customXml/itemProps4.xml><?xml version="1.0" encoding="utf-8"?>
<ds:datastoreItem xmlns:ds="http://schemas.openxmlformats.org/officeDocument/2006/customXml" ds:itemID="{10A5BE91-369B-4018-B0E3-C9C0C397D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Eriksen</dc:creator>
  <cp:keywords/>
  <dc:description/>
  <cp:lastModifiedBy>Mette Kingod</cp:lastModifiedBy>
  <cp:revision>2</cp:revision>
  <cp:lastPrinted>2020-02-15T12:37:00Z</cp:lastPrinted>
  <dcterms:created xsi:type="dcterms:W3CDTF">2022-10-05T20:29:00Z</dcterms:created>
  <dcterms:modified xsi:type="dcterms:W3CDTF">2022-10-05T20:29:00Z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